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AA5AAA" w:rsidRDefault="00B65BCF" w:rsidP="00AA5AA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943C3D8-86BC-4E54-9BEC-758D86F81264" style="width:450.25pt;height:395.55pt">
            <v:imagedata r:id="rId7" o:title=""/>
          </v:shape>
        </w:pict>
      </w:r>
    </w:p>
    <w:p w:rsidR="002402D9" w:rsidRPr="00AA5AAA" w:rsidRDefault="002402D9">
      <w:pPr>
        <w:sectPr w:rsidR="002402D9" w:rsidRPr="00AA5AAA" w:rsidSect="00DA6616">
          <w:footerReference w:type="default" r:id="rId8"/>
          <w:pgSz w:w="11907" w:h="16839"/>
          <w:pgMar w:top="1134" w:right="1417" w:bottom="1134" w:left="1417" w:header="709" w:footer="709" w:gutter="0"/>
          <w:pgNumType w:start="0"/>
          <w:cols w:space="720"/>
          <w:docGrid w:linePitch="360"/>
        </w:sectPr>
      </w:pPr>
    </w:p>
    <w:p w:rsidR="002402D9" w:rsidRPr="00AA5AAA" w:rsidRDefault="00AA5AAA" w:rsidP="00AA5AAA">
      <w:pPr>
        <w:pStyle w:val="Typedudocument"/>
      </w:pPr>
      <w:r w:rsidRPr="00AA5AAA">
        <w:lastRenderedPageBreak/>
        <w:t>PROVÁDĚCÍ ROZHODNUTÍ KOMISE (EU) …/…</w:t>
      </w:r>
    </w:p>
    <w:p w:rsidR="002402D9" w:rsidRPr="00AA5AAA" w:rsidRDefault="00AA5AAA" w:rsidP="00AA5AAA">
      <w:pPr>
        <w:pStyle w:val="Datedadoption"/>
      </w:pPr>
      <w:r w:rsidRPr="00AA5AAA">
        <w:t xml:space="preserve">ze dne </w:t>
      </w:r>
      <w:r w:rsidRPr="00AA5AAA">
        <w:rPr>
          <w:rStyle w:val="Marker2"/>
        </w:rPr>
        <w:t>XXX</w:t>
      </w:r>
    </w:p>
    <w:p w:rsidR="002402D9" w:rsidRPr="00AA5AAA" w:rsidRDefault="00AA5AAA" w:rsidP="00AA5AAA">
      <w:pPr>
        <w:pStyle w:val="Titreobjet"/>
      </w:pPr>
      <w:r w:rsidRPr="00AA5AAA">
        <w:t>o standardních smluvních doložkách mezi správci a zpracovateli podle čl. 28 odst. 7 nařízení Evropského parlamentu a Rady (EU) 2016/679 a čl. 29 odst. 7 nařízení Evropského parlamentu a Rady (EU) 2018/1725</w:t>
      </w:r>
    </w:p>
    <w:p w:rsidR="002402D9" w:rsidRPr="00AA5AAA" w:rsidRDefault="00AA5AAA" w:rsidP="00AA5AAA">
      <w:pPr>
        <w:pStyle w:val="IntrtEEE"/>
      </w:pPr>
      <w:r w:rsidRPr="00AA5AAA">
        <w:t>(Text s významem pro EHP)</w:t>
      </w:r>
    </w:p>
    <w:p w:rsidR="002402D9" w:rsidRPr="00AA5AAA" w:rsidRDefault="002402D9" w:rsidP="002402D9">
      <w:pPr>
        <w:pStyle w:val="Institutionquiagit"/>
      </w:pPr>
      <w:r w:rsidRPr="00AA5AAA">
        <w:t>EVROPSKÁ KOMISE,</w:t>
      </w:r>
    </w:p>
    <w:p w:rsidR="002402D9" w:rsidRPr="00AA5AAA" w:rsidRDefault="002402D9" w:rsidP="002402D9">
      <w:r w:rsidRPr="00AA5AAA">
        <w:rPr>
          <w:color w:val="000000"/>
        </w:rPr>
        <w:t>s ohledem na Smlouvu o fungování Evropské unie,</w:t>
      </w:r>
    </w:p>
    <w:p w:rsidR="002402D9" w:rsidRPr="00AA5AAA" w:rsidRDefault="002402D9" w:rsidP="002402D9">
      <w:r w:rsidRPr="00AA5AAA">
        <w:t>S ohledem na nařízení Evropského parlamentu a Rady (EU) 2016/679 ze dne 27. dubna 2016 o ochraně fyzických osob v souvislosti se zpracováním osobních údajů a o volném pohybu těchto údajů a o zrušení směrnice 95/46/ES</w:t>
      </w:r>
      <w:r w:rsidRPr="00AA5AAA">
        <w:rPr>
          <w:rStyle w:val="FootnoteReference"/>
        </w:rPr>
        <w:footnoteReference w:id="1"/>
      </w:r>
      <w:r w:rsidRPr="00AA5AAA">
        <w:t xml:space="preserve">, a zejména na čl. 28 odst. 7 uvedeného nařízení, </w:t>
      </w:r>
    </w:p>
    <w:p w:rsidR="002402D9" w:rsidRPr="00AA5AAA" w:rsidRDefault="002402D9" w:rsidP="002402D9">
      <w:r w:rsidRPr="00AA5AAA">
        <w:t>s ohledem na nařízení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w:t>
      </w:r>
      <w:r w:rsidRPr="00AA5AAA">
        <w:rPr>
          <w:rStyle w:val="FootnoteReference"/>
        </w:rPr>
        <w:footnoteReference w:id="2"/>
      </w:r>
      <w:r w:rsidRPr="00AA5AAA">
        <w:t>, a zejména na čl. 29 odst. 7 tohoto nařízení,</w:t>
      </w:r>
    </w:p>
    <w:p w:rsidR="002402D9" w:rsidRPr="00AA5AAA" w:rsidRDefault="002402D9" w:rsidP="002402D9">
      <w:r w:rsidRPr="00AA5AAA">
        <w:t>vzhledem k těmto důvodům:</w:t>
      </w:r>
    </w:p>
    <w:p w:rsidR="002402D9" w:rsidRPr="00AA5AAA" w:rsidRDefault="002402D9" w:rsidP="00364079">
      <w:pPr>
        <w:pStyle w:val="Considrant"/>
        <w:numPr>
          <w:ilvl w:val="0"/>
          <w:numId w:val="1"/>
        </w:numPr>
      </w:pPr>
      <w:r w:rsidRPr="00AA5AAA">
        <w:t>Pojmy správce a zpracovatel hrají klíčovou úlohu při uplatňování nařízení (EU) 2016/679 a nařízení (EU) 2018/1725. Správce je fyzická nebo právnická osoba, orgán veřejné moci, agentura nebo jiný subjekt, který sám nebo společně s jinými určuje účely a prostředky zpracování osobních údajů. Pro účely nařízení (EU) 2018/1725 se správcem rozumí orgán nebo instituce Unie nebo generální ředitelství či jakýkoli jiný organizační subjekt, který sám nebo společně s jinými subjekty určuje účely a prostředky zpracování osobních údajů. V případě, kdy účely a prostředky takového zpracování určuje specifický akt Unie, může Unie stanovit správce nebo specifická kritéria pro jeho určení. Zpracovatel je fyzická nebo právnická osoba, orgán veřejné moci, agentura nebo jiný subjekt, který zpracovává osobní údaje jménem správce.</w:t>
      </w:r>
    </w:p>
    <w:p w:rsidR="002402D9" w:rsidRPr="00AA5AAA" w:rsidRDefault="002402D9" w:rsidP="009237D1">
      <w:pPr>
        <w:pStyle w:val="Considrant"/>
      </w:pPr>
      <w:r w:rsidRPr="00AA5AAA">
        <w:t xml:space="preserve">Vztah mezi správci údajů a zpracovateli údajů, na něž se vztahuje nařízení (EU) 2016/679, a těmi, na něž se vztahuje nařízení (EU) 2018/1725, by se měl řídit stejným souborem standardních smluvních doložek. Je tomu tak proto, že v zájmu soudržného přístupu k ochraně osobních údajů v celé Unii a volného pohybu osobních údajů v rámci Unie byla pravidla ochrany osobních údajů platná pro veřejný sektor v členských státech a pravidla ochrany osobních údajů pro orgány, instituce a jiné subjekty Unie stanovená nařízením (EU) 2016/679 a nařízením (EU) 2018/1725 co nejvíce sladěna. </w:t>
      </w:r>
    </w:p>
    <w:p w:rsidR="002402D9" w:rsidRPr="00AA5AAA" w:rsidRDefault="002402D9" w:rsidP="002402D9">
      <w:pPr>
        <w:pStyle w:val="Considrant"/>
      </w:pPr>
      <w:r w:rsidRPr="00AA5AAA">
        <w:t>Aby byl v případě zpracování prováděného zpracovatelem za správce zajištěn soulad s požadavky nařízení (EU) 2016/679 a nařízení (EU) 2018/1725, měl by správce zpracováním pověřit pouze zpracovatele, kteří poskytují dostatečné záruky, zejména pokud jde o odborné znalosti, spolehlivost a zdroje, že zavedou technická a organizační opatření, která budou splňovat požadavky nařízení (EU) 2016/679 a nařízení (EU) 2018/1725, včetně požadavků na zabezpečení zpracování.</w:t>
      </w:r>
    </w:p>
    <w:p w:rsidR="002402D9" w:rsidRPr="00AA5AAA" w:rsidRDefault="002402D9" w:rsidP="002402D9">
      <w:pPr>
        <w:pStyle w:val="Considrant"/>
      </w:pPr>
      <w:r w:rsidRPr="00AA5AAA">
        <w:t>Zpracování zpracovatelem se řídí smlouvou nebo jiným právním aktem podle práva Unie nebo členského státu, které zavazují zpracovatele vůči správci a které stanoví prvky uvedené v čl. 28 odst. 3 a 4 nařízení (EU) 2016/679 nebo v čl. 29 odst. 3 a 4 nařízení (EU) 2018/1725. Uvedená smlouva nebo akt musí mít písemnou formu, případně včetně elektronické podoby.</w:t>
      </w:r>
    </w:p>
    <w:p w:rsidR="002402D9" w:rsidRPr="00AA5AAA" w:rsidRDefault="002402D9" w:rsidP="002402D9">
      <w:pPr>
        <w:pStyle w:val="Considrant"/>
      </w:pPr>
      <w:r w:rsidRPr="00AA5AAA">
        <w:t xml:space="preserve">V souladu s čl. 28 odst. 6 nařízení (EU) 2016/679 a čl. 29 odst. 6 nařízení (EU) 2018/1725 se správce a zpracovatel mohou rozhodnout, zda spolu sjednají individuální smlouvu obsahující povinné prvky stanovené v čl. 28 odst. 3 a 4 nařízení (EU) 2016/679 nebo v čl. 29 odst. 3 a 4 nařízení (EU) 2018/1725, nebo zda zcela nebo zčásti uplatní standardní smluvní doložky přijaté Komisí podle čl. 28 odst. 7 nařízení (EU) 2016/679 a čl. 29 odst. 7 nařízení (EU) 2018/1725. </w:t>
      </w:r>
    </w:p>
    <w:p w:rsidR="002402D9" w:rsidRPr="00AA5AAA" w:rsidRDefault="002402D9" w:rsidP="002402D9">
      <w:pPr>
        <w:pStyle w:val="Considrant"/>
      </w:pPr>
      <w:r w:rsidRPr="00AA5AAA">
        <w:t>Správce a zpracovatel by měli mít možnost zahrnout standardní smluvní doložky stanovené v tomto rozhodnutí do širší smlouvy a doplnit další doložky nebo další záruky, pokud tyto nejsou v přímém nebo nepřímém rozporu se standardními smluvními doložkami nebo pokud neomezují základní práva nebo svobody subjektů údajů. Uplatnění standardních smluvních doložek platí bez ohledu na jakékoli smluvní závazky správce a zpracovatele zajistit dodržování příslušných výsad a imunit.</w:t>
      </w:r>
    </w:p>
    <w:p w:rsidR="002402D9" w:rsidRPr="00AA5AAA" w:rsidRDefault="002402D9" w:rsidP="002402D9">
      <w:pPr>
        <w:pStyle w:val="Considrant"/>
      </w:pPr>
      <w:r w:rsidRPr="00AA5AAA">
        <w:t xml:space="preserve">Standardní smluvní doložky by měly pokrývat jak hmotněprávní, tak i procesní pravidla. V souladu s ustanoveními čl. 28 odst. 3 nařízení (EU) 2016/679 a čl. 29 odst. 3 nařízení (EU) 2018/1725 by standardní smluvní doložky měly také vyžadovat, aby správce a zpracovatel stanovili předmět a dobu trvání zpracování, jeho povahu a účel, druh dotčených osobních údajů, kategorie subjektů údajů a povinnosti a práva správce. </w:t>
      </w:r>
    </w:p>
    <w:p w:rsidR="002402D9" w:rsidRPr="00AA5AAA" w:rsidRDefault="002402D9" w:rsidP="002402D9">
      <w:pPr>
        <w:pStyle w:val="Considrant"/>
      </w:pPr>
      <w:r w:rsidRPr="00AA5AAA">
        <w:t>Podle ustanovení čl. 28 odst. 3 nařízení (EU) 2016/679 a čl. 29 odst. 3 nařízení (EU) 2018/1725 musí zpracovatel neprodleně informovat správce, pokud podle jeho názoru pokyn správce porušuje nařízení (EU) 2016/679 nebo nařízení (EU) 2018/1725 nebo jiná ustanovení Unie či členského státu o ochraně údajů.</w:t>
      </w:r>
    </w:p>
    <w:p w:rsidR="002402D9" w:rsidRPr="00AA5AAA" w:rsidRDefault="005D6D0A" w:rsidP="002402D9">
      <w:pPr>
        <w:pStyle w:val="Considrant"/>
      </w:pPr>
      <w:r w:rsidRPr="00AA5AAA">
        <w:t xml:space="preserve">Pokud zpracovatel zapojí do provádění konkrétních činností jiného zpracovatele, měly by se použít konkrétní požadavky uvedené v čl. 28 odst. 2 a 4 nařízení (EU) 2016/679 nebo v čl. 29 odst. 2 a 4 nařízení (EU) 2018/1725. Zejména se vyžaduje předchozí konkrétní nebo obecné písemné povolení. Bez ohledu na to, zda je toto předchozí povolení konkrétní nebo obecné, musí první zpracovatel udržovat aktualizovaný seznam dalších zpracovatelů. </w:t>
      </w:r>
    </w:p>
    <w:p w:rsidR="002402D9" w:rsidRPr="00AA5AAA" w:rsidRDefault="002402D9" w:rsidP="002402D9">
      <w:pPr>
        <w:pStyle w:val="Considrant"/>
      </w:pPr>
      <w:r w:rsidRPr="00AA5AAA">
        <w:t xml:space="preserve">Ke splnění požadavků čl. 46 odst. 1 nařízení (EU) 2016/679 přijala Komise standardní smluvní doložky podle čl. 46 odst. 2 písm. c) nařízení (EU) 2016/679. Tato ustanovení rovněž splňují požadavky čl. 28 odst. 3 a 4 nařízení (EU) 2016/679 na předávání údajů od správců, na něž se vztahuje nařízení (EU) 2016/679, zpracovatelům mimo územní působnost uvedeného nařízení nebo od zpracovatelů, na něž se vztahuje nařízení (EU) 2016/679, dílčím zpracovatelům mimo územní působnost uvedeného nařízení. Tyto standardní smluvní doložky nelze použít jako standardní smluvní doložky pro účely kapitoly V nařízení (EU) 2016/679. </w:t>
      </w:r>
    </w:p>
    <w:p w:rsidR="002402D9" w:rsidRPr="00AA5AAA" w:rsidRDefault="002402D9" w:rsidP="002402D9">
      <w:pPr>
        <w:pStyle w:val="Considrant"/>
      </w:pPr>
      <w:r w:rsidRPr="00AA5AAA">
        <w:t>Třetí strany by měly mít možnost stát se stranou standardních smluvních doložek po celou dobu trvání smlouvy.</w:t>
      </w:r>
    </w:p>
    <w:p w:rsidR="002402D9" w:rsidRPr="00AA5AAA" w:rsidRDefault="002402D9" w:rsidP="002402D9">
      <w:pPr>
        <w:pStyle w:val="Considrant"/>
      </w:pPr>
      <w:r w:rsidRPr="00AA5AAA">
        <w:t xml:space="preserve">Fungování standardních smluvních doložek by mělo být hodnoceno jako dílčí část pravidelného hodnocení nařízení (EU) 2016/679 stanoveného v článku 97 uvedeného nařízení. </w:t>
      </w:r>
    </w:p>
    <w:p w:rsidR="002402D9" w:rsidRPr="00AA5AAA" w:rsidRDefault="00EA7EE3" w:rsidP="00EA7EE3">
      <w:pPr>
        <w:pStyle w:val="Considrant"/>
      </w:pPr>
      <w:r w:rsidRPr="00AA5AAA">
        <w:t xml:space="preserve"> Evropský inspektor ochrany údajů a Evropský sbor pro ochranu osobních údajů byly konzultovány v souladu s čl. 42 odst. 1 a 2 nařízení (EU) 2018/1725 a dne 14. ledna 2021</w:t>
      </w:r>
      <w:r w:rsidRPr="00AA5AAA">
        <w:rPr>
          <w:rStyle w:val="FootnoteReference"/>
        </w:rPr>
        <w:footnoteReference w:id="3"/>
      </w:r>
      <w:r w:rsidRPr="00AA5AAA">
        <w:t xml:space="preserve"> vydaly společné stanovisko, které bylo zohledněno při přípravě tohoto rozhodnutí.</w:t>
      </w:r>
    </w:p>
    <w:p w:rsidR="002402D9" w:rsidRPr="00AA5AAA" w:rsidRDefault="002402D9" w:rsidP="002402D9">
      <w:pPr>
        <w:pStyle w:val="Considrant"/>
      </w:pPr>
      <w:r w:rsidRPr="00AA5AAA">
        <w:t>Opatření stanovená v tomto rozhodnutí jsou v souladu se stanoviskem Výboru zřízeným podle čl. 93 nařízení (EU) 2016/679 a čl. 96 odst. 2 nařízení (EU) 2018/1725,</w:t>
      </w:r>
    </w:p>
    <w:p w:rsidR="002402D9" w:rsidRPr="00AA5AAA" w:rsidRDefault="002402D9" w:rsidP="002402D9">
      <w:pPr>
        <w:pStyle w:val="Formuledadoption"/>
      </w:pPr>
      <w:r w:rsidRPr="00AA5AAA">
        <w:t xml:space="preserve">PŘIJALA TOTO ROZHODNUTÍ: </w:t>
      </w:r>
    </w:p>
    <w:p w:rsidR="002402D9" w:rsidRPr="00AA5AAA" w:rsidRDefault="002402D9" w:rsidP="002402D9">
      <w:pPr>
        <w:pStyle w:val="Titrearticle"/>
      </w:pPr>
      <w:r w:rsidRPr="00AA5AAA">
        <w:t>Článek 1</w:t>
      </w:r>
    </w:p>
    <w:p w:rsidR="002402D9" w:rsidRPr="00AA5AAA" w:rsidRDefault="002402D9" w:rsidP="002402D9">
      <w:r w:rsidRPr="00AA5AAA">
        <w:t>Standardní smluvní doložky uvedené v příloze splňují požadavky na smlouvy mezi správci a zpracovateli podle čl. 28 odst. 3 a 4 nařízení (EU) 2016/679 a čl. 29 odst. 3 a 4 nařízení (EU) 2018/1725.</w:t>
      </w:r>
    </w:p>
    <w:p w:rsidR="002402D9" w:rsidRPr="00AA5AAA" w:rsidRDefault="002402D9" w:rsidP="002402D9">
      <w:pPr>
        <w:pStyle w:val="Titrearticle"/>
      </w:pPr>
      <w:r w:rsidRPr="00AA5AAA">
        <w:t>Článek 2</w:t>
      </w:r>
    </w:p>
    <w:p w:rsidR="002402D9" w:rsidRPr="00AA5AAA" w:rsidRDefault="002402D9" w:rsidP="002402D9">
      <w:r w:rsidRPr="00AA5AAA">
        <w:t xml:space="preserve">Standardní smluvní doložky uvedené v příloze mohou být použity ve smlouvách mezi správcem a zpracovatelem, který jménem tohoto správce zpracovává osobní údaje. </w:t>
      </w:r>
    </w:p>
    <w:p w:rsidR="002402D9" w:rsidRPr="00AA5AAA" w:rsidRDefault="002402D9" w:rsidP="002402D9">
      <w:pPr>
        <w:pStyle w:val="Titrearticle"/>
      </w:pPr>
      <w:r w:rsidRPr="00AA5AAA">
        <w:t>Článek 3</w:t>
      </w:r>
    </w:p>
    <w:p w:rsidR="002402D9" w:rsidRPr="00AA5AAA" w:rsidRDefault="002402D9" w:rsidP="002402D9">
      <w:pPr>
        <w:rPr>
          <w:rFonts w:eastAsia="Calibri"/>
        </w:rPr>
      </w:pPr>
      <w:r w:rsidRPr="00AA5AAA">
        <w:t xml:space="preserve">Komise na základě všech dostupných informací vyhodnotí praktické uplatňování standardních smluvních doložek uvedených v příloze v rámci pravidelného hodnocení stanoveného v článku 97 nařízení (EU) 2016/679. </w:t>
      </w:r>
    </w:p>
    <w:p w:rsidR="002402D9" w:rsidRPr="00AA5AAA" w:rsidRDefault="002402D9" w:rsidP="002402D9">
      <w:pPr>
        <w:pStyle w:val="Titrearticle"/>
      </w:pPr>
      <w:r w:rsidRPr="00AA5AAA">
        <w:t>Článek 4</w:t>
      </w:r>
    </w:p>
    <w:p w:rsidR="003A69A2" w:rsidRPr="00AA5AAA" w:rsidRDefault="003A69A2" w:rsidP="00135D70">
      <w:r w:rsidRPr="00AA5AAA">
        <w:t xml:space="preserve">Toto rozhodnutí vstupuje v platnost dvacátým dnem po vyhlášení v </w:t>
      </w:r>
      <w:r w:rsidRPr="00AA5AAA">
        <w:rPr>
          <w:i/>
          <w:iCs/>
        </w:rPr>
        <w:t>Úředním věstníku Evropské unie</w:t>
      </w:r>
      <w:r w:rsidRPr="00AA5AAA">
        <w:t>.</w:t>
      </w:r>
    </w:p>
    <w:p w:rsidR="002402D9" w:rsidRPr="00AA5AAA" w:rsidRDefault="00AA5AAA" w:rsidP="00AA5AAA">
      <w:pPr>
        <w:pStyle w:val="Fait"/>
      </w:pPr>
      <w:r w:rsidRPr="00AA5AAA">
        <w:t>V Bruselu dne</w:t>
      </w:r>
    </w:p>
    <w:p w:rsidR="002402D9" w:rsidRPr="00AA5AAA" w:rsidRDefault="002402D9" w:rsidP="002402D9">
      <w:pPr>
        <w:pStyle w:val="Institutionquisigne"/>
        <w:rPr>
          <w:color w:val="000000" w:themeColor="text1"/>
        </w:rPr>
      </w:pPr>
      <w:r w:rsidRPr="00AA5AAA">
        <w:tab/>
      </w:r>
      <w:r w:rsidRPr="00AA5AAA">
        <w:rPr>
          <w:color w:val="000000" w:themeColor="text1"/>
        </w:rPr>
        <w:t>Za Komisi</w:t>
      </w:r>
    </w:p>
    <w:p w:rsidR="002402D9" w:rsidRPr="00AA5AAA" w:rsidRDefault="002402D9" w:rsidP="002402D9">
      <w:pPr>
        <w:pStyle w:val="Personnequisigne"/>
      </w:pPr>
      <w:r w:rsidRPr="00AA5AAA">
        <w:tab/>
        <w:t>Ursula VON DER LEYEN</w:t>
      </w:r>
    </w:p>
    <w:p w:rsidR="002402D9" w:rsidRPr="00AA5AAA" w:rsidRDefault="002402D9" w:rsidP="00F476B5">
      <w:pPr>
        <w:pStyle w:val="Personnequisigne"/>
        <w:rPr>
          <w:color w:val="000000" w:themeColor="text1"/>
        </w:rPr>
      </w:pPr>
      <w:r w:rsidRPr="00AA5AAA">
        <w:tab/>
      </w:r>
      <w:r w:rsidRPr="00AA5AAA">
        <w:rPr>
          <w:color w:val="000000" w:themeColor="text1"/>
        </w:rPr>
        <w:t xml:space="preserve">předsedkyně </w:t>
      </w:r>
    </w:p>
    <w:sectPr w:rsidR="002402D9" w:rsidRPr="00AA5AAA" w:rsidSect="00DA6616">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DA6616" w:rsidRDefault="00DA6616" w:rsidP="00DA6616">
    <w:pPr>
      <w:pStyle w:val="Footer"/>
      <w:rPr>
        <w:rFonts w:ascii="Arial" w:hAnsi="Arial" w:cs="Arial"/>
        <w:b/>
        <w:sz w:val="48"/>
      </w:rPr>
    </w:pPr>
    <w:r w:rsidRPr="00DA6616">
      <w:rPr>
        <w:rFonts w:ascii="Arial" w:hAnsi="Arial" w:cs="Arial"/>
        <w:b/>
        <w:sz w:val="48"/>
      </w:rPr>
      <w:t>CS</w:t>
    </w:r>
    <w:r w:rsidRPr="00DA6616">
      <w:rPr>
        <w:rFonts w:ascii="Arial" w:hAnsi="Arial" w:cs="Arial"/>
        <w:b/>
        <w:sz w:val="48"/>
      </w:rPr>
      <w:tab/>
    </w:r>
    <w:r w:rsidRPr="00DA6616">
      <w:rPr>
        <w:rFonts w:ascii="Arial" w:hAnsi="Arial" w:cs="Arial"/>
        <w:b/>
        <w:sz w:val="48"/>
      </w:rPr>
      <w:tab/>
    </w:r>
    <w:r w:rsidRPr="00DA6616">
      <w:tab/>
    </w:r>
    <w:r w:rsidRPr="00DA6616">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616" w:rsidRPr="00DA6616" w:rsidRDefault="00DA6616" w:rsidP="00DA6616">
    <w:pPr>
      <w:pStyle w:val="Footer"/>
      <w:rPr>
        <w:rFonts w:ascii="Arial" w:hAnsi="Arial" w:cs="Arial"/>
        <w:b/>
        <w:sz w:val="48"/>
      </w:rPr>
    </w:pPr>
    <w:r w:rsidRPr="00DA6616">
      <w:rPr>
        <w:rFonts w:ascii="Arial" w:hAnsi="Arial" w:cs="Arial"/>
        <w:b/>
        <w:sz w:val="48"/>
      </w:rPr>
      <w:t>CS</w:t>
    </w:r>
    <w:r w:rsidRPr="00DA6616">
      <w:rPr>
        <w:rFonts w:ascii="Arial" w:hAnsi="Arial" w:cs="Arial"/>
        <w:b/>
        <w:sz w:val="48"/>
      </w:rPr>
      <w:tab/>
    </w:r>
    <w:r>
      <w:fldChar w:fldCharType="begin"/>
    </w:r>
    <w:r>
      <w:instrText xml:space="preserve"> PAGE  \* MERGEFORMAT </w:instrText>
    </w:r>
    <w:r>
      <w:fldChar w:fldCharType="separate"/>
    </w:r>
    <w:r w:rsidR="00B65BCF">
      <w:rPr>
        <w:noProof/>
      </w:rPr>
      <w:t>1</w:t>
    </w:r>
    <w:r>
      <w:fldChar w:fldCharType="end"/>
    </w:r>
    <w:r>
      <w:tab/>
    </w:r>
    <w:r w:rsidRPr="00DA6616">
      <w:tab/>
    </w:r>
    <w:r w:rsidRPr="00DA6616">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616" w:rsidRPr="00DA6616" w:rsidRDefault="00DA6616" w:rsidP="00DA6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Úř. věst. L 119, 4.5.2016, s. 1.</w:t>
      </w:r>
    </w:p>
  </w:footnote>
  <w:footnote w:id="2">
    <w:p w:rsidR="002402D9" w:rsidRPr="00EA7EE3" w:rsidRDefault="002402D9" w:rsidP="002402D9">
      <w:pPr>
        <w:pStyle w:val="FootnoteText"/>
        <w:ind w:left="284" w:hanging="284"/>
      </w:pPr>
      <w:r>
        <w:rPr>
          <w:rStyle w:val="FootnoteReference"/>
        </w:rPr>
        <w:footnoteRef/>
      </w:r>
      <w:r>
        <w:tab/>
        <w:t>Úř. věst. L 295, 21.11.2018, s. 39.</w:t>
      </w:r>
    </w:p>
  </w:footnote>
  <w:footnote w:id="3">
    <w:p w:rsidR="002402D9" w:rsidRPr="003C5835" w:rsidRDefault="002402D9" w:rsidP="00EA7EE3">
      <w:pPr>
        <w:pStyle w:val="FootnoteText"/>
        <w:ind w:left="284" w:hanging="284"/>
      </w:pPr>
      <w:r>
        <w:rPr>
          <w:rStyle w:val="FootnoteReference"/>
        </w:rPr>
        <w:footnoteRef/>
      </w:r>
      <w:r>
        <w:tab/>
        <w:t>Společné stanovisko EDPB a EIOÚ 1/2021 k prováděcímu rozhodnutí Evropské komise o standardních smluvních doložkách mezi správci a zpracovateli pro záležitosti uvedené v</w:t>
      </w:r>
      <w:r w:rsidR="00AA5AAA">
        <w:t> </w:t>
      </w:r>
      <w:r>
        <w:t>čl</w:t>
      </w:r>
      <w:r w:rsidR="00AA5AAA">
        <w:t>.</w:t>
      </w:r>
      <w:r>
        <w:t xml:space="preserve"> 28 odst. 7 nařízení (EU) 2016/679 a čl. 29 odst. 7 nařízení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08:44: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943C3D8-86BC-4E54-9BEC-758D86F81264"/>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 "/>
    <w:docVar w:name="LW_ID_DOCMODEL" w:val="SJ-032"/>
    <w:docVar w:name="LW_ID_DOCSIGNATURE" w:val="SJ-032"/>
    <w:docVar w:name="LW_ID_DOCSTRUCTURE" w:val="COM/AA"/>
    <w:docVar w:name="LW_ID_DOCTYPE" w:val="SJ-032"/>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tandardních smluvních dolo\u382?kách mezi správci a zpracovateli podle \u269?l. 28 odst. 7 na\u345?ízení Evropského parlamentu a Rady (EU) 2016/679 a \u269?l. 29 odst. 7 na\u345?ízení Evropského parlamentu a Rady (EU) 2018/1725"/>
    <w:docVar w:name="LW_TYPE.DOC.CP" w:val="PROVÁD\u282?CÍ ROZHODNUTÍ KOMISE (EU) \u8230?/\u8230?"/>
  </w:docVars>
  <w:rsids>
    <w:rsidRoot w:val="002402D9"/>
    <w:rsid w:val="000A7517"/>
    <w:rsid w:val="000E198E"/>
    <w:rsid w:val="00135D70"/>
    <w:rsid w:val="00151F7C"/>
    <w:rsid w:val="001C2816"/>
    <w:rsid w:val="002040A1"/>
    <w:rsid w:val="00232E98"/>
    <w:rsid w:val="00237340"/>
    <w:rsid w:val="002402D9"/>
    <w:rsid w:val="00252115"/>
    <w:rsid w:val="002532DA"/>
    <w:rsid w:val="00275FE2"/>
    <w:rsid w:val="002C0FB7"/>
    <w:rsid w:val="00364079"/>
    <w:rsid w:val="00387488"/>
    <w:rsid w:val="003A69A2"/>
    <w:rsid w:val="004339EA"/>
    <w:rsid w:val="0048570C"/>
    <w:rsid w:val="004D6C74"/>
    <w:rsid w:val="004F2DF0"/>
    <w:rsid w:val="005951BB"/>
    <w:rsid w:val="005D6D0A"/>
    <w:rsid w:val="006E1BCC"/>
    <w:rsid w:val="0070128F"/>
    <w:rsid w:val="007C06F6"/>
    <w:rsid w:val="007D5587"/>
    <w:rsid w:val="00894AF5"/>
    <w:rsid w:val="009237D1"/>
    <w:rsid w:val="00942512"/>
    <w:rsid w:val="00986B33"/>
    <w:rsid w:val="00986D45"/>
    <w:rsid w:val="00987AD5"/>
    <w:rsid w:val="009A12DF"/>
    <w:rsid w:val="009B7138"/>
    <w:rsid w:val="00AA5AAA"/>
    <w:rsid w:val="00AB596B"/>
    <w:rsid w:val="00B65BCF"/>
    <w:rsid w:val="00BE246D"/>
    <w:rsid w:val="00BF17AA"/>
    <w:rsid w:val="00C24556"/>
    <w:rsid w:val="00C55ABA"/>
    <w:rsid w:val="00CC49B0"/>
    <w:rsid w:val="00D60C6C"/>
    <w:rsid w:val="00D64D62"/>
    <w:rsid w:val="00DA6616"/>
    <w:rsid w:val="00DC435D"/>
    <w:rsid w:val="00DF46BA"/>
    <w:rsid w:val="00DF6773"/>
    <w:rsid w:val="00DF6971"/>
    <w:rsid w:val="00E37448"/>
    <w:rsid w:val="00EA7EE3"/>
    <w:rsid w:val="00ED3E3C"/>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cs-CZ"/>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cs-CZ"/>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2</Pages>
  <Words>1141</Words>
  <Characters>6318</Characters>
  <Application>Microsoft Office Word</Application>
  <DocSecurity>0</DocSecurity>
  <Lines>113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JIROUSEK Jan (DGT)</cp:lastModifiedBy>
  <cp:revision>3</cp:revision>
  <dcterms:created xsi:type="dcterms:W3CDTF">2021-05-20T06:43:00Z</dcterms:created>
  <dcterms:modified xsi:type="dcterms:W3CDTF">2021-05-20T06:44:00Z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